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C4D7" w14:textId="77777777" w:rsidR="00DA61CA" w:rsidRPr="00143833" w:rsidRDefault="00DA61CA" w:rsidP="00DA61CA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 xml:space="preserve">WALWORTH COUNTY BOARD OF </w:t>
      </w:r>
      <w:r>
        <w:rPr>
          <w:rFonts w:asciiTheme="minorHAnsi" w:hAnsiTheme="minorHAnsi" w:cstheme="minorHAnsi"/>
          <w:b/>
          <w:sz w:val="22"/>
          <w:szCs w:val="22"/>
        </w:rPr>
        <w:t>EQUALIZATION</w:t>
      </w:r>
    </w:p>
    <w:p w14:paraId="1B55208F" w14:textId="77777777" w:rsidR="00DA61CA" w:rsidRPr="00143833" w:rsidRDefault="00DA61CA" w:rsidP="00DA61CA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MINUTES OF PROCEEDINGS</w:t>
      </w:r>
    </w:p>
    <w:p w14:paraId="36B9BA71" w14:textId="77013D46" w:rsidR="00DA61CA" w:rsidRDefault="00DA61CA" w:rsidP="00DA61CA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April 23</w:t>
      </w:r>
      <w:r w:rsidRPr="00143833">
        <w:rPr>
          <w:rFonts w:asciiTheme="minorHAnsi" w:hAnsiTheme="minorHAnsi" w:cstheme="minorHAnsi"/>
          <w:b/>
          <w:bCs/>
          <w:sz w:val="22"/>
          <w:szCs w:val="22"/>
        </w:rPr>
        <w:t>, 2023</w:t>
      </w:r>
      <w:r>
        <w:rPr>
          <w:rFonts w:asciiTheme="minorHAnsi" w:hAnsiTheme="minorHAnsi" w:cstheme="minorHAnsi"/>
          <w:b/>
          <w:bCs/>
          <w:sz w:val="22"/>
          <w:szCs w:val="22"/>
        </w:rPr>
        <w:t>, 10</w:t>
      </w:r>
      <w:r w:rsidRPr="00143833">
        <w:rPr>
          <w:rFonts w:asciiTheme="minorHAnsi" w:hAnsiTheme="minorHAnsi" w:cstheme="minorHAnsi"/>
          <w:b/>
          <w:bCs/>
          <w:sz w:val="22"/>
          <w:szCs w:val="22"/>
        </w:rPr>
        <w:t>:00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43833">
        <w:rPr>
          <w:rFonts w:asciiTheme="minorHAnsi" w:hAnsiTheme="minorHAnsi" w:cstheme="minorHAnsi"/>
          <w:b/>
          <w:bCs/>
          <w:sz w:val="22"/>
          <w:szCs w:val="22"/>
        </w:rPr>
        <w:t>m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9496889" w14:textId="77777777" w:rsidR="00DA61CA" w:rsidRDefault="00DA61CA" w:rsidP="00DA61CA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76A770" w14:textId="77777777" w:rsidR="00DA61CA" w:rsidRDefault="00DA61CA" w:rsidP="00DA61CA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A7497" w14:textId="0720FE76" w:rsidR="00DA61CA" w:rsidRDefault="00DA61CA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Call to Order: </w:t>
      </w:r>
      <w:r>
        <w:rPr>
          <w:rFonts w:asciiTheme="minorHAnsi" w:hAnsiTheme="minorHAnsi" w:cstheme="minorHAnsi"/>
          <w:sz w:val="22"/>
          <w:szCs w:val="22"/>
        </w:rPr>
        <w:t>Chairman Houck called the meeting to order at 10:00 a.m.</w:t>
      </w:r>
    </w:p>
    <w:p w14:paraId="6F75FA1E" w14:textId="77777777" w:rsidR="00DA61CA" w:rsidRDefault="00DA61CA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2D08DDBA" w14:textId="64A0765F" w:rsidR="00DA61CA" w:rsidRDefault="00DA61CA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In Attendance: </w:t>
      </w:r>
      <w:r>
        <w:rPr>
          <w:rFonts w:asciiTheme="minorHAnsi" w:hAnsiTheme="minorHAnsi" w:cstheme="minorHAnsi"/>
          <w:sz w:val="22"/>
          <w:szCs w:val="22"/>
        </w:rPr>
        <w:t>Commissioners Jim Houck, Randy Carlson, Duane Mohr, Scott Schilling, and Justin Jungwirth, and Auditor Kim Dills. The public in attendance was Cody Ritter, Dana Randall</w:t>
      </w:r>
      <w:r w:rsidR="007A4140">
        <w:rPr>
          <w:rFonts w:asciiTheme="minorHAnsi" w:hAnsiTheme="minorHAnsi" w:cstheme="minorHAnsi"/>
          <w:sz w:val="22"/>
          <w:szCs w:val="22"/>
        </w:rPr>
        <w:t>, Kennith Gosch, Dave Osborn, Robert Seyer, and John Von Wald.</w:t>
      </w:r>
    </w:p>
    <w:p w14:paraId="6B4B753F" w14:textId="77777777" w:rsidR="00DA61CA" w:rsidRDefault="00DA61CA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020DF72D" w14:textId="1F47871E" w:rsidR="00DA61CA" w:rsidRDefault="00531EB0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Pledge of Allegiance: </w:t>
      </w:r>
      <w:r>
        <w:rPr>
          <w:rFonts w:asciiTheme="minorHAnsi" w:hAnsiTheme="minorHAnsi" w:cstheme="minorHAnsi"/>
          <w:sz w:val="22"/>
          <w:szCs w:val="22"/>
        </w:rPr>
        <w:t>The Pledge of Allegiance was recited by those in attendance.</w:t>
      </w:r>
    </w:p>
    <w:p w14:paraId="17CAB8D2" w14:textId="77777777" w:rsidR="00531EB0" w:rsidRDefault="00531EB0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2B5D6810" w14:textId="743EA845" w:rsidR="00531EB0" w:rsidRDefault="00531EB0" w:rsidP="00DA61CA">
      <w:pPr>
        <w:ind w:right="-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Convene as Board of Equalization</w:t>
      </w:r>
    </w:p>
    <w:p w14:paraId="48BE4B80" w14:textId="1EB8D5A2" w:rsidR="00531EB0" w:rsidRDefault="00531EB0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Agenda: </w:t>
      </w:r>
      <w:r>
        <w:rPr>
          <w:rFonts w:asciiTheme="minorHAnsi" w:hAnsiTheme="minorHAnsi" w:cstheme="minorHAnsi"/>
          <w:sz w:val="22"/>
          <w:szCs w:val="22"/>
        </w:rPr>
        <w:t>Schilling moved to approve the agenda and seconded by Carlson. All in favor, all voting aye. Motion carried.</w:t>
      </w:r>
    </w:p>
    <w:p w14:paraId="7873EF9A" w14:textId="77777777" w:rsidR="00531EB0" w:rsidRDefault="00531EB0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4D44E296" w14:textId="6D41E980" w:rsidR="00531EB0" w:rsidRDefault="00531EB0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Appeals: </w:t>
      </w:r>
      <w:r w:rsidR="004752BE">
        <w:rPr>
          <w:rFonts w:asciiTheme="minorHAnsi" w:hAnsiTheme="minorHAnsi" w:cstheme="minorHAnsi"/>
          <w:sz w:val="22"/>
          <w:szCs w:val="22"/>
          <w:u w:val="single"/>
        </w:rPr>
        <w:t>Kennith Gosch:</w:t>
      </w:r>
      <w:r w:rsidR="004752BE">
        <w:rPr>
          <w:rFonts w:asciiTheme="minorHAnsi" w:hAnsiTheme="minorHAnsi" w:cstheme="minorHAnsi"/>
          <w:sz w:val="22"/>
          <w:szCs w:val="22"/>
        </w:rPr>
        <w:t xml:space="preserve"> Schilling moved to set lot 37</w:t>
      </w:r>
      <w:r w:rsidR="006F6A2C">
        <w:rPr>
          <w:rFonts w:asciiTheme="minorHAnsi" w:hAnsiTheme="minorHAnsi" w:cstheme="minorHAnsi"/>
          <w:sz w:val="22"/>
          <w:szCs w:val="22"/>
        </w:rPr>
        <w:t xml:space="preserve"> record number 8464 from $10,000</w:t>
      </w:r>
      <w:r w:rsidR="00E77602">
        <w:rPr>
          <w:rFonts w:asciiTheme="minorHAnsi" w:hAnsiTheme="minorHAnsi" w:cstheme="minorHAnsi"/>
          <w:sz w:val="22"/>
          <w:szCs w:val="22"/>
        </w:rPr>
        <w:t xml:space="preserve"> to $500 and seconded by Mohr. Roll call vote, all voting yes. Motion carried.</w:t>
      </w:r>
    </w:p>
    <w:p w14:paraId="0218D8AE" w14:textId="7DB6D277" w:rsidR="00E77602" w:rsidRDefault="00E77602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Jungwirth made a motion to leave the assessed value for lot 38 record number 8465 at $35,000 and seconded by Mohr. Roll call vote, Carlson – yes, Jungwirth – yes, Schilling – no, Mohr – yes, Houck – yes, Ritter – yes. Motion carried.</w:t>
      </w:r>
    </w:p>
    <w:p w14:paraId="4BCA9986" w14:textId="537F6D8B" w:rsidR="00E77602" w:rsidRDefault="00E77602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Jungwirth made a motion to leave the assessed value for lot 44 record number </w:t>
      </w:r>
      <w:r w:rsidR="00406297">
        <w:rPr>
          <w:rFonts w:asciiTheme="minorHAnsi" w:hAnsiTheme="minorHAnsi" w:cstheme="minorHAnsi"/>
          <w:sz w:val="22"/>
          <w:szCs w:val="22"/>
        </w:rPr>
        <w:t>8471 at $35,000 and seconded by Carlson. Roll call vote, Carlson – yes, Jungwirth – yes, Schilling – no, Mohr – yes, Houck – yes, Ritter – yes. Motion carried.</w:t>
      </w:r>
    </w:p>
    <w:p w14:paraId="6A3F9EDA" w14:textId="285255E2" w:rsidR="00406297" w:rsidRDefault="00406297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Mohr made a motion to leave the assessed value for lot 45 record number 8472 at $35,000 and seconded by Jungwirth. Roll call vote, Carlson – yes, Jungwirth – yes, Schilling – no, Mohr – yes, Houck – yes, Ritter – yes. Motion carried.</w:t>
      </w:r>
    </w:p>
    <w:p w14:paraId="0333BC90" w14:textId="77777777" w:rsidR="000C4781" w:rsidRDefault="000C4781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42F352AD" w14:textId="0793528D" w:rsidR="00406297" w:rsidRDefault="00406297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Dave Osborn</w:t>
      </w:r>
      <w:r w:rsidR="000C4781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0C4781">
        <w:rPr>
          <w:rFonts w:asciiTheme="minorHAnsi" w:hAnsiTheme="minorHAnsi" w:cstheme="minorHAnsi"/>
          <w:sz w:val="22"/>
          <w:szCs w:val="22"/>
        </w:rPr>
        <w:t xml:space="preserve"> Jungwirth made a motion to leave the lot value the same at $47,093 and moved the house value to $340,001 for record number 7882 and seconded by Schilling. Roll call vote, all voting yes. Motion carried.</w:t>
      </w:r>
    </w:p>
    <w:p w14:paraId="604748E3" w14:textId="77777777" w:rsidR="000C4781" w:rsidRDefault="000C4781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62FB8FEF" w14:textId="34EA8B88" w:rsidR="000C4781" w:rsidRDefault="000C4781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Kevin Vojta:</w:t>
      </w:r>
      <w:r>
        <w:rPr>
          <w:rFonts w:asciiTheme="minorHAnsi" w:hAnsiTheme="minorHAnsi" w:cstheme="minorHAnsi"/>
          <w:sz w:val="22"/>
          <w:szCs w:val="22"/>
        </w:rPr>
        <w:t xml:space="preserve"> Jungwirth moved to leave record number 6442 as is and seconded by Carlson. Roll call vote, all voting yes. Motion carried.</w:t>
      </w:r>
    </w:p>
    <w:p w14:paraId="4DDC3522" w14:textId="77777777" w:rsidR="000C4781" w:rsidRDefault="000C4781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58D3E442" w14:textId="23D4B791" w:rsidR="000C4781" w:rsidRDefault="000C4781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Dana Randall:</w:t>
      </w:r>
      <w:r>
        <w:rPr>
          <w:rFonts w:asciiTheme="minorHAnsi" w:hAnsiTheme="minorHAnsi" w:cstheme="minorHAnsi"/>
          <w:sz w:val="22"/>
          <w:szCs w:val="22"/>
        </w:rPr>
        <w:t xml:space="preserve"> Mohr moved to leave record number 6840 as is at $436,339.11 and seconded by Jungwirth. Roll call vote, all voting yes. Motion carried.</w:t>
      </w:r>
    </w:p>
    <w:p w14:paraId="4CBBE429" w14:textId="77777777" w:rsidR="000C4781" w:rsidRDefault="000C4781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58B6A446" w14:textId="08EF1836" w:rsidR="000C4781" w:rsidRDefault="000C4781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Robert Seyer: </w:t>
      </w:r>
      <w:r>
        <w:rPr>
          <w:rFonts w:asciiTheme="minorHAnsi" w:hAnsiTheme="minorHAnsi" w:cstheme="minorHAnsi"/>
          <w:sz w:val="22"/>
          <w:szCs w:val="22"/>
        </w:rPr>
        <w:t>Jungwirth moved to set record number 1809 to $279,818, and record number 1811 to $56,331 and seconded by Schilling. Roll call vote, all voting yes. Motion carried.</w:t>
      </w:r>
    </w:p>
    <w:p w14:paraId="75FBBADD" w14:textId="77777777" w:rsidR="000C4781" w:rsidRDefault="000C4781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1528D320" w14:textId="23108745" w:rsidR="000C4781" w:rsidRDefault="000C4781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John Von Wald: </w:t>
      </w:r>
      <w:r>
        <w:rPr>
          <w:rFonts w:asciiTheme="minorHAnsi" w:hAnsiTheme="minorHAnsi" w:cstheme="minorHAnsi"/>
          <w:sz w:val="22"/>
          <w:szCs w:val="22"/>
        </w:rPr>
        <w:t>Mohr moved to raise record number 1181 12% instead of 16.35% and seconded by Carlson. Roll call vote, all voting yes. Motion carried.</w:t>
      </w:r>
    </w:p>
    <w:p w14:paraId="53C959D9" w14:textId="77777777" w:rsidR="000C4781" w:rsidRDefault="000C4781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0CF18434" w14:textId="2733BC52" w:rsidR="000C4781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Veterans Exemption: </w:t>
      </w:r>
      <w:r>
        <w:rPr>
          <w:rFonts w:asciiTheme="minorHAnsi" w:hAnsiTheme="minorHAnsi" w:cstheme="minorHAnsi"/>
          <w:sz w:val="22"/>
          <w:szCs w:val="22"/>
        </w:rPr>
        <w:t>Mohr moved to approve the Veterans exemption and seconded by Carlson. All in favor, all voting aye. Motion carried.</w:t>
      </w:r>
    </w:p>
    <w:p w14:paraId="6B3F6C88" w14:textId="77777777" w:rsidR="007C37FE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01165631" w14:textId="35FCD09C" w:rsidR="007C37FE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Assessment Freeze: </w:t>
      </w:r>
      <w:r>
        <w:rPr>
          <w:rFonts w:asciiTheme="minorHAnsi" w:hAnsiTheme="minorHAnsi" w:cstheme="minorHAnsi"/>
          <w:sz w:val="22"/>
          <w:szCs w:val="22"/>
        </w:rPr>
        <w:t>Schilling moved to approve the assessment freeze and seconded by Jungwirth. All in favor, all voting aye. Motion carried.</w:t>
      </w:r>
    </w:p>
    <w:p w14:paraId="0EB5EF21" w14:textId="77777777" w:rsidR="007C37FE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69C696F2" w14:textId="0299BB14" w:rsidR="0044192B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Exempt Property: </w:t>
      </w:r>
      <w:r>
        <w:rPr>
          <w:rFonts w:asciiTheme="minorHAnsi" w:hAnsiTheme="minorHAnsi" w:cstheme="minorHAnsi"/>
          <w:sz w:val="22"/>
          <w:szCs w:val="22"/>
        </w:rPr>
        <w:t>Schilling moved to approve the exempt property and seconded by Mohr. All in favor, all voting aye. Motion carried.</w:t>
      </w:r>
    </w:p>
    <w:p w14:paraId="36997DDB" w14:textId="77777777" w:rsidR="007C37FE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338B4E1E" w14:textId="25901B89" w:rsidR="007C37FE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Paraplegic Veterans Exemption: </w:t>
      </w:r>
      <w:r>
        <w:rPr>
          <w:rFonts w:asciiTheme="minorHAnsi" w:hAnsiTheme="minorHAnsi" w:cstheme="minorHAnsi"/>
          <w:sz w:val="22"/>
          <w:szCs w:val="22"/>
        </w:rPr>
        <w:t>Jungwirth moved to approve the Paraplegic Veterans exemption property and seconded by Schilling. All in favor, all voting aye. Motion carried.</w:t>
      </w:r>
    </w:p>
    <w:p w14:paraId="51653AB5" w14:textId="77777777" w:rsidR="0044192B" w:rsidRDefault="0044192B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54193ECD" w14:textId="598DC9F7" w:rsidR="0044192B" w:rsidRPr="0044192B" w:rsidRDefault="0044192B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DOE: </w:t>
      </w:r>
      <w:r>
        <w:rPr>
          <w:rFonts w:asciiTheme="minorHAnsi" w:hAnsiTheme="minorHAnsi" w:cstheme="minorHAnsi"/>
          <w:sz w:val="22"/>
          <w:szCs w:val="22"/>
        </w:rPr>
        <w:t>Mohr moved to approve the re-application of previous adjustments to ag land made by the Director of Equalization after assessment notices were mailed and seconded by Jungwirth. All in favor, all voting aye. Motion carried.</w:t>
      </w:r>
    </w:p>
    <w:p w14:paraId="6D3B1655" w14:textId="77777777" w:rsidR="007C37FE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0D571D37" w14:textId="49A25767" w:rsidR="007C37FE" w:rsidRPr="0044192B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Business:</w:t>
      </w:r>
      <w:r w:rsidR="004419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192B">
        <w:rPr>
          <w:rFonts w:asciiTheme="minorHAnsi" w:hAnsiTheme="minorHAnsi" w:cstheme="minorHAnsi"/>
          <w:sz w:val="22"/>
          <w:szCs w:val="22"/>
        </w:rPr>
        <w:t>None</w:t>
      </w:r>
    </w:p>
    <w:p w14:paraId="0F08DF7F" w14:textId="77777777" w:rsidR="007C37FE" w:rsidRDefault="007C37FE" w:rsidP="00DA61CA">
      <w:pPr>
        <w:ind w:right="-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7327CC4" w14:textId="5AC1E3A9" w:rsidR="007C37FE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Old Business: </w:t>
      </w:r>
      <w:r>
        <w:rPr>
          <w:rFonts w:asciiTheme="minorHAnsi" w:hAnsiTheme="minorHAnsi" w:cstheme="minorHAnsi"/>
          <w:sz w:val="22"/>
          <w:szCs w:val="22"/>
        </w:rPr>
        <w:t>None</w:t>
      </w:r>
    </w:p>
    <w:p w14:paraId="68D5C80D" w14:textId="77777777" w:rsidR="007C37FE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7F88BBC1" w14:textId="6FE7E8D1" w:rsidR="007C37FE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Adjourn: </w:t>
      </w:r>
      <w:r>
        <w:rPr>
          <w:rFonts w:asciiTheme="minorHAnsi" w:hAnsiTheme="minorHAnsi" w:cstheme="minorHAnsi"/>
          <w:sz w:val="22"/>
          <w:szCs w:val="22"/>
        </w:rPr>
        <w:t>Schilling moved to adjourn and seconded by Carlson. All in favor, all voting aye. Motion carried.</w:t>
      </w:r>
    </w:p>
    <w:p w14:paraId="39C03538" w14:textId="77777777" w:rsidR="007C37FE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7EC7FF3A" w14:textId="77777777" w:rsidR="007C37FE" w:rsidRPr="00E50C57" w:rsidRDefault="007C37FE" w:rsidP="007C37FE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APPROVED: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ATTEST:</w:t>
      </w:r>
    </w:p>
    <w:p w14:paraId="59975FE3" w14:textId="77777777" w:rsidR="007C37FE" w:rsidRPr="00E50C57" w:rsidRDefault="007C37FE" w:rsidP="007C37FE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1F465F35" w14:textId="77777777" w:rsidR="007C37FE" w:rsidRPr="00E50C57" w:rsidRDefault="007C37FE" w:rsidP="007C37FE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69BF42A0" w14:textId="52BE1180" w:rsidR="007C37FE" w:rsidRPr="00E50C57" w:rsidRDefault="007C37FE" w:rsidP="007C37FE">
      <w:pPr>
        <w:ind w:right="-360"/>
        <w:jc w:val="both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____________________________</w:t>
      </w:r>
      <w:r w:rsidRPr="00E50C57">
        <w:rPr>
          <w:rFonts w:asciiTheme="minorHAnsi" w:hAnsiTheme="minorHAnsi" w:cstheme="minorHAnsi"/>
          <w:b/>
          <w:bCs/>
          <w:sz w:val="20"/>
        </w:rPr>
        <w:t>_____</w:t>
      </w:r>
      <w:r w:rsidRPr="00E50C57">
        <w:rPr>
          <w:rFonts w:asciiTheme="minorHAnsi" w:hAnsiTheme="minorHAnsi" w:cstheme="minorHAnsi"/>
          <w:b/>
          <w:bCs/>
          <w:sz w:val="20"/>
        </w:rPr>
        <w:t>_</w:t>
      </w:r>
      <w:r>
        <w:rPr>
          <w:rFonts w:asciiTheme="minorHAnsi" w:hAnsiTheme="minorHAnsi" w:cstheme="minorHAnsi"/>
          <w:b/>
          <w:bCs/>
          <w:sz w:val="20"/>
        </w:rPr>
        <w:t>______________________________________________</w:t>
      </w:r>
      <w:r w:rsidRPr="00E50C57">
        <w:rPr>
          <w:rFonts w:asciiTheme="minorHAnsi" w:hAnsiTheme="minorHAnsi" w:cstheme="minorHAnsi"/>
          <w:b/>
          <w:bCs/>
          <w:sz w:val="20"/>
        </w:rPr>
        <w:t>_________________________</w:t>
      </w:r>
    </w:p>
    <w:p w14:paraId="696BF42D" w14:textId="77777777" w:rsidR="007C37FE" w:rsidRPr="00E50C57" w:rsidRDefault="007C37FE" w:rsidP="007C37FE">
      <w:pPr>
        <w:ind w:right="-360"/>
        <w:rPr>
          <w:rFonts w:asciiTheme="minorHAnsi" w:hAnsiTheme="minorHAnsi" w:cstheme="minorHAnsi"/>
          <w:b/>
          <w:sz w:val="20"/>
        </w:rPr>
      </w:pPr>
      <w:r w:rsidRPr="00E50C57">
        <w:rPr>
          <w:rFonts w:asciiTheme="minorHAnsi" w:hAnsiTheme="minorHAnsi" w:cstheme="minorHAnsi"/>
          <w:b/>
          <w:sz w:val="20"/>
        </w:rPr>
        <w:t>CHAIRPERSON</w:t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  <w:t>AUDITOR</w:t>
      </w:r>
    </w:p>
    <w:p w14:paraId="6D834C72" w14:textId="77777777" w:rsidR="007C37FE" w:rsidRPr="00E50C57" w:rsidRDefault="007C37FE" w:rsidP="007C37FE">
      <w:pPr>
        <w:ind w:right="-360"/>
        <w:rPr>
          <w:rFonts w:asciiTheme="minorHAnsi" w:hAnsiTheme="minorHAnsi" w:cstheme="minorHAnsi"/>
          <w:b/>
          <w:sz w:val="20"/>
        </w:rPr>
      </w:pPr>
    </w:p>
    <w:p w14:paraId="6118930B" w14:textId="77777777" w:rsidR="007C37FE" w:rsidRPr="00E50C57" w:rsidRDefault="007C37FE" w:rsidP="007C37FE">
      <w:pPr>
        <w:ind w:right="-360"/>
        <w:rPr>
          <w:rFonts w:asciiTheme="minorHAnsi" w:hAnsiTheme="minorHAnsi" w:cstheme="minorHAnsi"/>
          <w:b/>
          <w:sz w:val="20"/>
        </w:rPr>
      </w:pPr>
    </w:p>
    <w:p w14:paraId="06CE00EA" w14:textId="77777777" w:rsidR="007C37FE" w:rsidRPr="00E50C57" w:rsidRDefault="007C37FE" w:rsidP="007C37FE">
      <w:pPr>
        <w:ind w:right="-360"/>
        <w:rPr>
          <w:rFonts w:asciiTheme="minorHAnsi" w:hAnsiTheme="minorHAnsi" w:cstheme="minorHAnsi"/>
          <w:sz w:val="20"/>
        </w:rPr>
      </w:pPr>
    </w:p>
    <w:p w14:paraId="2805C469" w14:textId="2EF1A513" w:rsidR="007C37FE" w:rsidRPr="00DE7B4D" w:rsidRDefault="007C37FE" w:rsidP="007C37FE">
      <w:pPr>
        <w:ind w:right="-360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sz w:val="20"/>
        </w:rPr>
        <w:t xml:space="preserve">Published once at the total approximate cost of </w:t>
      </w:r>
      <w:r w:rsidRPr="00E50C57">
        <w:rPr>
          <w:rFonts w:asciiTheme="minorHAnsi" w:hAnsiTheme="minorHAnsi" w:cstheme="minorHAnsi"/>
          <w:sz w:val="20"/>
        </w:rPr>
        <w:t>$_</w:t>
      </w:r>
      <w:r w:rsidRPr="00E50C57">
        <w:rPr>
          <w:rFonts w:asciiTheme="minorHAnsi" w:hAnsiTheme="minorHAnsi" w:cstheme="minorHAnsi"/>
          <w:sz w:val="20"/>
        </w:rPr>
        <w:t>__________</w:t>
      </w:r>
    </w:p>
    <w:p w14:paraId="004CBADA" w14:textId="77777777" w:rsidR="007C37FE" w:rsidRPr="00254C4B" w:rsidRDefault="007C37FE" w:rsidP="007C37FE">
      <w:pPr>
        <w:ind w:right="-360"/>
        <w:rPr>
          <w:rFonts w:ascii="Calibri" w:hAnsi="Calibri" w:cs="Calibri"/>
          <w:sz w:val="22"/>
          <w:szCs w:val="22"/>
        </w:rPr>
      </w:pPr>
    </w:p>
    <w:p w14:paraId="618BB0F2" w14:textId="77777777" w:rsidR="007C37FE" w:rsidRPr="007C37FE" w:rsidRDefault="007C37FE" w:rsidP="00DA61CA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209B3308" w14:textId="77777777" w:rsidR="00DA61CA" w:rsidRDefault="00DA61CA" w:rsidP="00DA61CA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323338" w14:textId="77777777" w:rsidR="00DA61CA" w:rsidRDefault="00DA61CA" w:rsidP="00DA61CA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758BC1" w14:textId="77777777" w:rsidR="00DA61CA" w:rsidRDefault="00DA61CA" w:rsidP="00DA61CA">
      <w:pPr>
        <w:ind w:right="-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30761C" w14:textId="77777777" w:rsidR="00F429BC" w:rsidRDefault="00F429BC"/>
    <w:sectPr w:rsidR="00F4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CA"/>
    <w:rsid w:val="000C4781"/>
    <w:rsid w:val="003C358A"/>
    <w:rsid w:val="00406297"/>
    <w:rsid w:val="0044192B"/>
    <w:rsid w:val="004752BE"/>
    <w:rsid w:val="00531EB0"/>
    <w:rsid w:val="006F6A2C"/>
    <w:rsid w:val="007A4140"/>
    <w:rsid w:val="007C37FE"/>
    <w:rsid w:val="007E2222"/>
    <w:rsid w:val="00DA61CA"/>
    <w:rsid w:val="00E77602"/>
    <w:rsid w:val="00F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41C4"/>
  <w15:chartTrackingRefBased/>
  <w15:docId w15:val="{08605929-8056-4326-A8CA-541B299C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1CA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1CA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1CA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1CA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1CA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1CA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1CA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1CA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1CA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1CA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1CA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6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1CA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6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1CA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6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1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10</cp:revision>
  <dcterms:created xsi:type="dcterms:W3CDTF">2025-04-29T16:52:00Z</dcterms:created>
  <dcterms:modified xsi:type="dcterms:W3CDTF">2025-04-30T18:29:00Z</dcterms:modified>
</cp:coreProperties>
</file>