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D7B1" w14:textId="77777777" w:rsidR="00E13543" w:rsidRPr="00143833" w:rsidRDefault="00E13543" w:rsidP="00E13543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WALWORTH COUNTY BOARD OF COMMISSIONERS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568FE5" w14:textId="77777777" w:rsidR="00E13543" w:rsidRPr="00143833" w:rsidRDefault="00E13543" w:rsidP="00E13543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0F4637DB" w14:textId="19FE7F36" w:rsidR="00F429BC" w:rsidRDefault="00E13543" w:rsidP="00E135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June 25, 2024, 9:00 a.m.</w:t>
      </w:r>
    </w:p>
    <w:p w14:paraId="1762E8BA" w14:textId="77777777" w:rsidR="00E13543" w:rsidRDefault="00E13543" w:rsidP="00E135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3F72C" w14:textId="77777777" w:rsidR="00E13543" w:rsidRDefault="00E13543" w:rsidP="00E135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35D540" w14:textId="0FB433D2" w:rsidR="00E13543" w:rsidRPr="00E13543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Call to Order: </w:t>
      </w:r>
      <w:r>
        <w:rPr>
          <w:rFonts w:asciiTheme="minorHAnsi" w:hAnsiTheme="minorHAnsi" w:cstheme="minorHAnsi"/>
          <w:sz w:val="22"/>
          <w:szCs w:val="22"/>
        </w:rPr>
        <w:t>Chairman Houck called the meeting to order at 9:00 a.m.</w:t>
      </w:r>
    </w:p>
    <w:p w14:paraId="333F11B1" w14:textId="5AF192CF" w:rsidR="00E13543" w:rsidRPr="00831392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 Attendance:</w:t>
      </w:r>
      <w:r w:rsidR="008313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1392">
        <w:rPr>
          <w:rFonts w:asciiTheme="minorHAnsi" w:hAnsiTheme="minorHAnsi" w:cstheme="minorHAnsi"/>
          <w:sz w:val="22"/>
          <w:szCs w:val="22"/>
        </w:rPr>
        <w:t xml:space="preserve">Commissioners Jim Houck, Kevin Holgard, Duane Mohr, Scott Schilling, and Justin Jungwirth. Also, present was Auditor Kim Dills. The public in attendance was Pam Wells, </w:t>
      </w:r>
      <w:r w:rsidR="00E4047A">
        <w:rPr>
          <w:rFonts w:asciiTheme="minorHAnsi" w:hAnsiTheme="minorHAnsi" w:cstheme="minorHAnsi"/>
          <w:sz w:val="22"/>
          <w:szCs w:val="22"/>
        </w:rPr>
        <w:t xml:space="preserve">Ted Dickey, Dean Marske, </w:t>
      </w:r>
      <w:r w:rsidR="00F22F4C">
        <w:rPr>
          <w:rFonts w:asciiTheme="minorHAnsi" w:hAnsiTheme="minorHAnsi" w:cstheme="minorHAnsi"/>
          <w:sz w:val="22"/>
          <w:szCs w:val="22"/>
        </w:rPr>
        <w:t>Collin Fitz,</w:t>
      </w:r>
      <w:r w:rsidR="007D2E3C">
        <w:rPr>
          <w:rFonts w:asciiTheme="minorHAnsi" w:hAnsiTheme="minorHAnsi" w:cstheme="minorHAnsi"/>
          <w:sz w:val="22"/>
          <w:szCs w:val="22"/>
        </w:rPr>
        <w:t xml:space="preserve"> and Toby Morris.</w:t>
      </w:r>
    </w:p>
    <w:p w14:paraId="4D239640" w14:textId="77670ED1" w:rsidR="00E13543" w:rsidRPr="003150D2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Pledge of Allegiance:</w:t>
      </w:r>
      <w:r w:rsidR="00315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0D2">
        <w:rPr>
          <w:rFonts w:asciiTheme="minorHAnsi" w:hAnsiTheme="minorHAnsi" w:cstheme="minorHAnsi"/>
          <w:sz w:val="22"/>
          <w:szCs w:val="22"/>
        </w:rPr>
        <w:t>The Pledge of Allegiance was recited by those in attendance.</w:t>
      </w:r>
    </w:p>
    <w:p w14:paraId="52EA65C5" w14:textId="052C211E" w:rsidR="00E13543" w:rsidRDefault="00E13543" w:rsidP="00E1354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Convene as County Commission</w:t>
      </w:r>
    </w:p>
    <w:p w14:paraId="408A0A64" w14:textId="7C8E9E47" w:rsidR="00E13543" w:rsidRPr="003150D2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Agenda:</w:t>
      </w:r>
      <w:r w:rsidR="00315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0D2">
        <w:rPr>
          <w:rFonts w:asciiTheme="minorHAnsi" w:hAnsiTheme="minorHAnsi" w:cstheme="minorHAnsi"/>
          <w:sz w:val="22"/>
          <w:szCs w:val="22"/>
        </w:rPr>
        <w:t>Schilling moved to approve the agenda and seconded by Mohr. All in favor – all voting aye – motion carried.</w:t>
      </w:r>
    </w:p>
    <w:p w14:paraId="1B71CD0B" w14:textId="79243D17" w:rsidR="00E13543" w:rsidRPr="003150D2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Minutes for Canvassing Board:</w:t>
      </w:r>
      <w:r w:rsidR="00315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0D2">
        <w:rPr>
          <w:rFonts w:asciiTheme="minorHAnsi" w:hAnsiTheme="minorHAnsi" w:cstheme="minorHAnsi"/>
          <w:sz w:val="22"/>
          <w:szCs w:val="22"/>
        </w:rPr>
        <w:t>Holgard moved to approve the minutes f</w:t>
      </w:r>
      <w:r w:rsidR="002617E8">
        <w:rPr>
          <w:rFonts w:asciiTheme="minorHAnsi" w:hAnsiTheme="minorHAnsi" w:cstheme="minorHAnsi"/>
          <w:sz w:val="22"/>
          <w:szCs w:val="22"/>
        </w:rPr>
        <w:t>rom the</w:t>
      </w:r>
      <w:r w:rsidR="003150D2">
        <w:rPr>
          <w:rFonts w:asciiTheme="minorHAnsi" w:hAnsiTheme="minorHAnsi" w:cstheme="minorHAnsi"/>
          <w:sz w:val="22"/>
          <w:szCs w:val="22"/>
        </w:rPr>
        <w:t xml:space="preserve"> canvassing board and seconded by Jungwirth. All in favor – all voting aye – motion carried.</w:t>
      </w:r>
    </w:p>
    <w:p w14:paraId="46554F81" w14:textId="709E3C02" w:rsidR="00E13543" w:rsidRPr="003150D2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Minutes for June 11, 2024:</w:t>
      </w:r>
      <w:r w:rsidR="00315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0D2">
        <w:rPr>
          <w:rFonts w:asciiTheme="minorHAnsi" w:hAnsiTheme="minorHAnsi" w:cstheme="minorHAnsi"/>
          <w:sz w:val="22"/>
          <w:szCs w:val="22"/>
        </w:rPr>
        <w:t>Mohr moved to approve the minutes f</w:t>
      </w:r>
      <w:r w:rsidR="002617E8">
        <w:rPr>
          <w:rFonts w:asciiTheme="minorHAnsi" w:hAnsiTheme="minorHAnsi" w:cstheme="minorHAnsi"/>
          <w:sz w:val="22"/>
          <w:szCs w:val="22"/>
        </w:rPr>
        <w:t>rom</w:t>
      </w:r>
      <w:r w:rsidR="003150D2">
        <w:rPr>
          <w:rFonts w:asciiTheme="minorHAnsi" w:hAnsiTheme="minorHAnsi" w:cstheme="minorHAnsi"/>
          <w:sz w:val="22"/>
          <w:szCs w:val="22"/>
        </w:rPr>
        <w:t xml:space="preserve"> June 11, </w:t>
      </w:r>
      <w:r w:rsidR="002617E8">
        <w:rPr>
          <w:rFonts w:asciiTheme="minorHAnsi" w:hAnsiTheme="minorHAnsi" w:cstheme="minorHAnsi"/>
          <w:sz w:val="22"/>
          <w:szCs w:val="22"/>
        </w:rPr>
        <w:t>2024,</w:t>
      </w:r>
      <w:r w:rsidR="003150D2">
        <w:rPr>
          <w:rFonts w:asciiTheme="minorHAnsi" w:hAnsiTheme="minorHAnsi" w:cstheme="minorHAnsi"/>
          <w:sz w:val="22"/>
          <w:szCs w:val="22"/>
        </w:rPr>
        <w:t xml:space="preserve"> and seconded by Schilling. All in favor – all voting aye – motion carried.</w:t>
      </w:r>
    </w:p>
    <w:p w14:paraId="752899C3" w14:textId="5718DEE9" w:rsidR="00E13543" w:rsidRPr="002617E8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Claims:</w:t>
      </w:r>
      <w:r w:rsidR="002617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17E8">
        <w:rPr>
          <w:rFonts w:asciiTheme="minorHAnsi" w:hAnsiTheme="minorHAnsi" w:cstheme="minorHAnsi"/>
          <w:sz w:val="22"/>
          <w:szCs w:val="22"/>
        </w:rPr>
        <w:t>Jungwirth moved to approve the claims and seconded by Mohr. Roll call vote – all voting yes – motion carried.</w:t>
      </w:r>
    </w:p>
    <w:p w14:paraId="1BB1F511" w14:textId="03FCED3F" w:rsidR="00E13543" w:rsidRPr="00E4047A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Claims:</w:t>
      </w:r>
      <w:r w:rsidR="00E404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4047A">
        <w:rPr>
          <w:rFonts w:asciiTheme="minorHAnsi" w:hAnsiTheme="minorHAnsi" w:cstheme="minorHAnsi"/>
          <w:sz w:val="22"/>
          <w:szCs w:val="22"/>
        </w:rPr>
        <w:t>Bantz, Gosch &amp; Cremer LLC $560.35</w:t>
      </w:r>
      <w:r w:rsidR="00D864FA">
        <w:rPr>
          <w:rFonts w:asciiTheme="minorHAnsi" w:hAnsiTheme="minorHAnsi" w:cstheme="minorHAnsi"/>
          <w:sz w:val="22"/>
          <w:szCs w:val="22"/>
        </w:rPr>
        <w:t xml:space="preserve"> services &amp; fees; Laurel Berens $50.00 services &amp; fees; Kristi A. Brandt $151.90 services &amp; fees; CalWal Electric Cooperative $196.69 utilities; Denise Centeno $50.00 services &amp; fees; Cogley Law Office Prof LLC $298.50 services &amp; fees; Coleman Law $327.75 services &amp; fees; Dakota Glass $330.00 repairs &amp; maintenance; DRG Media Group $345.00 publishing; Gas N Goodie $108.86</w:t>
      </w:r>
      <w:r w:rsidR="008368F2">
        <w:rPr>
          <w:rFonts w:asciiTheme="minorHAnsi" w:hAnsiTheme="minorHAnsi" w:cstheme="minorHAnsi"/>
          <w:sz w:val="22"/>
          <w:szCs w:val="22"/>
        </w:rPr>
        <w:t xml:space="preserve"> travel; Darla Hadrick $50.00 services &amp; fees; Yvonne Helm $50.00 services &amp; fees; Hughes County Finance Office $4,875.00 inmate boarding; Java Community Center $50.00 services &amp; fees; Kesling Funeral Home $3,940.00 services &amp; fees; Mark K. Kroontje $246.75 services &amp; fees; Lewis Family Drug LLC $10.08 inmate medical;</w:t>
      </w:r>
      <w:r w:rsidR="00487623">
        <w:rPr>
          <w:rFonts w:asciiTheme="minorHAnsi" w:hAnsiTheme="minorHAnsi" w:cstheme="minorHAnsi"/>
          <w:sz w:val="22"/>
          <w:szCs w:val="22"/>
        </w:rPr>
        <w:t xml:space="preserve"> Marco INC $182.15 rentals; Mobridge Regional Hospital $3,353.82 inmate medical; Monument Health Network $500.00 services &amp; fees; Pennington County Jail $942.93 inmate boarding/services &amp; fees; Pfitzer Pest Control LLC $174.15 services &amp; fees; Roberts County $645.00 juvenile boarding; Senior Nutrition Center $152.00 inmate meals; Taliaferro Law Firm $1,534.00 services &amp; fees; Christopher Van Camp $50.00 services &amp; fees; Venture Communication Coop $724.39 utilities; Von Wald Law Offices LLC $306.12 services &amp; fees; Yankton CO Sheriff’s Office $50.00 services &amp; fees.</w:t>
      </w:r>
    </w:p>
    <w:p w14:paraId="377C9A43" w14:textId="32EAF9D3" w:rsidR="00E13543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Sheriff:</w:t>
      </w:r>
      <w:r w:rsidR="002617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1D1B">
        <w:rPr>
          <w:rFonts w:asciiTheme="minorHAnsi" w:hAnsiTheme="minorHAnsi" w:cstheme="minorHAnsi"/>
          <w:sz w:val="22"/>
          <w:szCs w:val="22"/>
        </w:rPr>
        <w:t>Schilling moved to approve Roberts County Jail Contract for adult boarding at $115.00 a day and juvenile boarding $315.00 a day and seconded by Mohr. Roll call vote – all voting yes – motion carried.</w:t>
      </w:r>
    </w:p>
    <w:p w14:paraId="5350C1D9" w14:textId="6BACC5C3" w:rsidR="00F22F4C" w:rsidRDefault="00821D1B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NECOG: </w:t>
      </w:r>
      <w:r>
        <w:rPr>
          <w:rFonts w:asciiTheme="minorHAnsi" w:hAnsiTheme="minorHAnsi" w:cstheme="minorHAnsi"/>
          <w:sz w:val="22"/>
          <w:szCs w:val="22"/>
        </w:rPr>
        <w:t xml:space="preserve">Schilling moved to approve </w:t>
      </w:r>
      <w:r w:rsidR="00A439B1">
        <w:rPr>
          <w:rFonts w:asciiTheme="minorHAnsi" w:hAnsiTheme="minorHAnsi" w:cstheme="minorHAnsi"/>
          <w:sz w:val="22"/>
          <w:szCs w:val="22"/>
        </w:rPr>
        <w:t>for the chairman to sign an application for a solid waste management program grant through the South Dakota Department of Agriculture and Natural Resources</w:t>
      </w:r>
      <w:r w:rsidR="00F22F4C">
        <w:rPr>
          <w:rFonts w:asciiTheme="minorHAnsi" w:hAnsiTheme="minorHAnsi" w:cstheme="minorHAnsi"/>
          <w:sz w:val="22"/>
          <w:szCs w:val="22"/>
        </w:rPr>
        <w:t xml:space="preserve"> f</w:t>
      </w:r>
      <w:r w:rsidR="00A439B1">
        <w:rPr>
          <w:rFonts w:asciiTheme="minorHAnsi" w:hAnsiTheme="minorHAnsi" w:cstheme="minorHAnsi"/>
          <w:sz w:val="22"/>
          <w:szCs w:val="22"/>
        </w:rPr>
        <w:t>or a 40x60 cold storage building for the landfill with 20-foot sidewalls, 14-foot-wide and 18-foot-tall overhead doors seconded by Jungwirth</w:t>
      </w:r>
      <w:r w:rsidR="00F22F4C">
        <w:rPr>
          <w:rFonts w:asciiTheme="minorHAnsi" w:hAnsiTheme="minorHAnsi" w:cstheme="minorHAnsi"/>
          <w:sz w:val="22"/>
          <w:szCs w:val="22"/>
        </w:rPr>
        <w:t>. All in favor – all voting aye – motion carried.</w:t>
      </w:r>
      <w:r w:rsidR="00A439B1">
        <w:rPr>
          <w:rFonts w:asciiTheme="minorHAnsi" w:hAnsiTheme="minorHAnsi" w:cstheme="minorHAnsi"/>
          <w:sz w:val="22"/>
          <w:szCs w:val="22"/>
        </w:rPr>
        <w:t xml:space="preserve"> The estimated cost is $150,000</w:t>
      </w:r>
      <w:r w:rsidR="00F22F4C">
        <w:rPr>
          <w:rFonts w:asciiTheme="minorHAnsi" w:hAnsiTheme="minorHAnsi" w:cstheme="minorHAnsi"/>
          <w:sz w:val="22"/>
          <w:szCs w:val="22"/>
        </w:rPr>
        <w:t xml:space="preserve"> with a 50% project cost or $75,000.</w:t>
      </w:r>
    </w:p>
    <w:p w14:paraId="3C169910" w14:textId="2B5F3951" w:rsidR="007A1362" w:rsidRPr="00F22F4C" w:rsidRDefault="00F22F4C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Jail: </w:t>
      </w:r>
      <w:r>
        <w:rPr>
          <w:rFonts w:asciiTheme="minorHAnsi" w:hAnsiTheme="minorHAnsi" w:cstheme="minorHAnsi"/>
          <w:sz w:val="22"/>
          <w:szCs w:val="22"/>
        </w:rPr>
        <w:t>Reviewed and discussed jail plans.</w:t>
      </w:r>
    </w:p>
    <w:p w14:paraId="68AE3376" w14:textId="09428CEB" w:rsidR="00E13543" w:rsidRPr="0028582E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 Business:</w:t>
      </w:r>
      <w:r w:rsidR="002858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582E">
        <w:rPr>
          <w:rFonts w:asciiTheme="minorHAnsi" w:hAnsiTheme="minorHAnsi" w:cstheme="minorHAnsi"/>
          <w:sz w:val="22"/>
          <w:szCs w:val="22"/>
        </w:rPr>
        <w:t>None</w:t>
      </w:r>
    </w:p>
    <w:p w14:paraId="18BE9CDA" w14:textId="0EA94700" w:rsidR="00E13543" w:rsidRPr="0028582E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Business:</w:t>
      </w:r>
      <w:r w:rsidR="002858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582E">
        <w:rPr>
          <w:rFonts w:asciiTheme="minorHAnsi" w:hAnsiTheme="minorHAnsi" w:cstheme="minorHAnsi"/>
          <w:sz w:val="22"/>
          <w:szCs w:val="22"/>
        </w:rPr>
        <w:t>None</w:t>
      </w:r>
    </w:p>
    <w:p w14:paraId="70E1F46B" w14:textId="657A7CB6" w:rsidR="00E13543" w:rsidRDefault="00E13543" w:rsidP="00E135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Adjourn:</w:t>
      </w:r>
      <w:r w:rsidR="002858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582E">
        <w:rPr>
          <w:rFonts w:asciiTheme="minorHAnsi" w:hAnsiTheme="minorHAnsi" w:cstheme="minorHAnsi"/>
          <w:sz w:val="22"/>
          <w:szCs w:val="22"/>
        </w:rPr>
        <w:t>Holgard moved to adjourn and seconded by Schilling. All in favor – all voting aye – motion carried.</w:t>
      </w:r>
    </w:p>
    <w:p w14:paraId="0C300684" w14:textId="77777777" w:rsidR="0028582E" w:rsidRDefault="0028582E" w:rsidP="00E13543">
      <w:pPr>
        <w:rPr>
          <w:rFonts w:asciiTheme="minorHAnsi" w:hAnsiTheme="minorHAnsi" w:cstheme="minorHAnsi"/>
          <w:sz w:val="22"/>
          <w:szCs w:val="22"/>
        </w:rPr>
      </w:pPr>
    </w:p>
    <w:p w14:paraId="486E5136" w14:textId="77777777" w:rsidR="0028582E" w:rsidRPr="0028582E" w:rsidRDefault="0028582E" w:rsidP="00E13543">
      <w:pPr>
        <w:rPr>
          <w:rFonts w:asciiTheme="minorHAnsi" w:hAnsiTheme="minorHAnsi" w:cstheme="minorHAnsi"/>
          <w:sz w:val="22"/>
          <w:szCs w:val="22"/>
        </w:rPr>
      </w:pPr>
    </w:p>
    <w:p w14:paraId="77664234" w14:textId="77777777" w:rsidR="007A1362" w:rsidRPr="00E50C57" w:rsidRDefault="007A1362" w:rsidP="007A1362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lastRenderedPageBreak/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2906C3BF" w14:textId="77777777" w:rsidR="007A1362" w:rsidRPr="00E50C57" w:rsidRDefault="007A1362" w:rsidP="007A1362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03903DCC" w14:textId="77777777" w:rsidR="007A1362" w:rsidRPr="00E50C57" w:rsidRDefault="007A1362" w:rsidP="007A1362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4F9F728E" w14:textId="77777777" w:rsidR="007A1362" w:rsidRPr="00E50C57" w:rsidRDefault="007A1362" w:rsidP="007A1362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__________________________</w:t>
      </w:r>
    </w:p>
    <w:p w14:paraId="32FA9B50" w14:textId="77777777" w:rsidR="007A1362" w:rsidRPr="00E50C57" w:rsidRDefault="007A1362" w:rsidP="007A1362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53250ADA" w14:textId="77777777" w:rsidR="007A1362" w:rsidRPr="00E50C57" w:rsidRDefault="007A1362" w:rsidP="007A1362">
      <w:pPr>
        <w:ind w:right="-360"/>
        <w:rPr>
          <w:rFonts w:asciiTheme="minorHAnsi" w:hAnsiTheme="minorHAnsi" w:cstheme="minorHAnsi"/>
          <w:b/>
          <w:sz w:val="20"/>
        </w:rPr>
      </w:pPr>
    </w:p>
    <w:p w14:paraId="4F1E2F47" w14:textId="77777777" w:rsidR="007A1362" w:rsidRPr="00E50C57" w:rsidRDefault="007A1362" w:rsidP="007A1362">
      <w:pPr>
        <w:ind w:right="-360"/>
        <w:rPr>
          <w:rFonts w:asciiTheme="minorHAnsi" w:hAnsiTheme="minorHAnsi" w:cstheme="minorHAnsi"/>
          <w:b/>
          <w:sz w:val="20"/>
        </w:rPr>
      </w:pPr>
    </w:p>
    <w:p w14:paraId="540887B7" w14:textId="77777777" w:rsidR="007A1362" w:rsidRPr="00E50C57" w:rsidRDefault="007A1362" w:rsidP="007A1362">
      <w:pPr>
        <w:ind w:right="-360"/>
        <w:rPr>
          <w:rFonts w:asciiTheme="minorHAnsi" w:hAnsiTheme="minorHAnsi" w:cstheme="minorHAnsi"/>
          <w:sz w:val="20"/>
        </w:rPr>
      </w:pPr>
    </w:p>
    <w:p w14:paraId="664B57E9" w14:textId="77777777" w:rsidR="007A1362" w:rsidRPr="003735C1" w:rsidRDefault="007A1362" w:rsidP="007A1362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>Published once at the total approximate cost of $____________</w:t>
      </w:r>
    </w:p>
    <w:p w14:paraId="73787D14" w14:textId="77777777" w:rsidR="007A1362" w:rsidRDefault="007A1362" w:rsidP="007A1362"/>
    <w:p w14:paraId="0BFC3414" w14:textId="77777777" w:rsidR="00E13543" w:rsidRPr="00E13543" w:rsidRDefault="00E13543" w:rsidP="00E13543"/>
    <w:sectPr w:rsidR="00E13543" w:rsidRPr="00E1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43"/>
    <w:rsid w:val="002617E8"/>
    <w:rsid w:val="0028582E"/>
    <w:rsid w:val="003150D2"/>
    <w:rsid w:val="003C358A"/>
    <w:rsid w:val="00487623"/>
    <w:rsid w:val="00792EA7"/>
    <w:rsid w:val="007A1362"/>
    <w:rsid w:val="007D2E3C"/>
    <w:rsid w:val="00821D1B"/>
    <w:rsid w:val="00831392"/>
    <w:rsid w:val="008368F2"/>
    <w:rsid w:val="008F7DCC"/>
    <w:rsid w:val="00A439B1"/>
    <w:rsid w:val="00D417BB"/>
    <w:rsid w:val="00D864FA"/>
    <w:rsid w:val="00E13543"/>
    <w:rsid w:val="00E4047A"/>
    <w:rsid w:val="00F22F4C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CCBC"/>
  <w15:chartTrackingRefBased/>
  <w15:docId w15:val="{869E269C-26EA-4862-805A-2F35A64E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543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543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543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543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543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543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543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543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543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543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543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3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543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3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543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3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5</cp:revision>
  <cp:lastPrinted>2024-06-26T19:28:00Z</cp:lastPrinted>
  <dcterms:created xsi:type="dcterms:W3CDTF">2024-06-25T13:55:00Z</dcterms:created>
  <dcterms:modified xsi:type="dcterms:W3CDTF">2024-07-05T14:31:00Z</dcterms:modified>
</cp:coreProperties>
</file>