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6B6F" w14:textId="77777777" w:rsidR="00A51E4C" w:rsidRPr="00143833" w:rsidRDefault="00A51E4C" w:rsidP="00A51E4C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WALWORTH COUNTY BOARD OF COMMISSIONERS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D66E6B" w14:textId="77777777" w:rsidR="00A51E4C" w:rsidRPr="00143833" w:rsidRDefault="00A51E4C" w:rsidP="00A51E4C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MINUTES OF PROCEEDINGS</w:t>
      </w:r>
    </w:p>
    <w:p w14:paraId="1D56EAB2" w14:textId="44CAD776" w:rsidR="00A51E4C" w:rsidRDefault="00A51E4C" w:rsidP="00A51E4C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June 11, 2024, 9:00 a.m.</w:t>
      </w:r>
    </w:p>
    <w:p w14:paraId="29E32EA3" w14:textId="77777777" w:rsidR="00A51E4C" w:rsidRDefault="00A51E4C" w:rsidP="00A51E4C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8DCC66" w14:textId="77777777" w:rsidR="00A51E4C" w:rsidRDefault="00A51E4C" w:rsidP="00A51E4C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5DE40F" w14:textId="0B1F4F7C" w:rsidR="00A51E4C" w:rsidRDefault="00A51E4C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Call to Order: </w:t>
      </w:r>
      <w:r>
        <w:rPr>
          <w:rFonts w:asciiTheme="minorHAnsi" w:hAnsiTheme="minorHAnsi" w:cstheme="minorHAnsi"/>
          <w:sz w:val="22"/>
          <w:szCs w:val="22"/>
        </w:rPr>
        <w:t>Chairman Houck called the meeting to order at 9:00 a.m.</w:t>
      </w:r>
    </w:p>
    <w:p w14:paraId="6280C796" w14:textId="77E8131C" w:rsidR="00A51E4C" w:rsidRDefault="00A51E4C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In Attendance: </w:t>
      </w:r>
      <w:r>
        <w:rPr>
          <w:rFonts w:asciiTheme="minorHAnsi" w:hAnsiTheme="minorHAnsi" w:cstheme="minorHAnsi"/>
          <w:sz w:val="22"/>
          <w:szCs w:val="22"/>
        </w:rPr>
        <w:t>Commissioners Jim Houck, Kevin Holgard</w:t>
      </w:r>
      <w:r w:rsidR="00386413">
        <w:rPr>
          <w:rFonts w:asciiTheme="minorHAnsi" w:hAnsiTheme="minorHAnsi" w:cstheme="minorHAnsi"/>
          <w:sz w:val="22"/>
          <w:szCs w:val="22"/>
        </w:rPr>
        <w:t>, Duane Mohr, Scott Schilling, and Justin Jungwirth. Also, present was Auditor Kim Dills. The public in attendance was Linda Beaman, Pam Wells, Ronny Opheim, Jacob Opheim, and Rory Thorstenson.</w:t>
      </w:r>
    </w:p>
    <w:p w14:paraId="228EF175" w14:textId="69E1F435" w:rsidR="00386413" w:rsidRDefault="00386413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Pledge of Allegiance: </w:t>
      </w:r>
      <w:r>
        <w:rPr>
          <w:rFonts w:asciiTheme="minorHAnsi" w:hAnsiTheme="minorHAnsi" w:cstheme="minorHAnsi"/>
          <w:sz w:val="22"/>
          <w:szCs w:val="22"/>
        </w:rPr>
        <w:t>The Pledge of Allegiance was recited by those in attendance.</w:t>
      </w:r>
    </w:p>
    <w:p w14:paraId="09D6602B" w14:textId="56DDAE9E" w:rsidR="00386413" w:rsidRDefault="00386413" w:rsidP="00A51E4C">
      <w:pPr>
        <w:ind w:right="-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Convene as </w:t>
      </w:r>
      <w:r w:rsidR="00BF370B">
        <w:rPr>
          <w:rFonts w:asciiTheme="minorHAnsi" w:hAnsiTheme="minorHAnsi" w:cstheme="minorHAnsi"/>
          <w:b/>
          <w:bCs/>
          <w:sz w:val="22"/>
          <w:szCs w:val="22"/>
          <w:u w:val="single"/>
        </w:rPr>
        <w:t>Planning and Zoning</w:t>
      </w:r>
    </w:p>
    <w:p w14:paraId="131F3C61" w14:textId="0F05A462" w:rsidR="00BF370B" w:rsidRDefault="00BF370B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Agenda: </w:t>
      </w:r>
      <w:r>
        <w:rPr>
          <w:rFonts w:asciiTheme="minorHAnsi" w:hAnsiTheme="minorHAnsi" w:cstheme="minorHAnsi"/>
          <w:sz w:val="22"/>
          <w:szCs w:val="22"/>
        </w:rPr>
        <w:t>Holgard moved to approve the agenda and seconded by Schilling. All in favor – all voting aye – motion carried.</w:t>
      </w:r>
    </w:p>
    <w:p w14:paraId="57EB7847" w14:textId="3F95A854" w:rsidR="00BF370B" w:rsidRDefault="009508C8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2 Plats: </w:t>
      </w:r>
      <w:r>
        <w:rPr>
          <w:rFonts w:asciiTheme="minorHAnsi" w:hAnsiTheme="minorHAnsi" w:cstheme="minorHAnsi"/>
          <w:sz w:val="22"/>
          <w:szCs w:val="22"/>
        </w:rPr>
        <w:t xml:space="preserve">Mohr moved to approve </w:t>
      </w:r>
      <w:r w:rsidR="00132D80">
        <w:rPr>
          <w:rFonts w:asciiTheme="minorHAnsi" w:hAnsiTheme="minorHAnsi" w:cstheme="minorHAnsi"/>
          <w:sz w:val="22"/>
          <w:szCs w:val="22"/>
        </w:rPr>
        <w:t>Be it resolved by the County Planning Commission of Walworth County, South Dakota, that the plat showing: Schaefer 1</w:t>
      </w:r>
      <w:r w:rsidR="00132D80" w:rsidRPr="00132D8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132D80">
        <w:rPr>
          <w:rFonts w:asciiTheme="minorHAnsi" w:hAnsiTheme="minorHAnsi" w:cstheme="minorHAnsi"/>
          <w:sz w:val="22"/>
          <w:szCs w:val="22"/>
        </w:rPr>
        <w:t xml:space="preserve"> Addition in the W2NE4 of 10-124-74, Walworth County, South Dakota having been examine</w:t>
      </w:r>
      <w:r w:rsidR="002113B3">
        <w:rPr>
          <w:rFonts w:asciiTheme="minorHAnsi" w:hAnsiTheme="minorHAnsi" w:cstheme="minorHAnsi"/>
          <w:sz w:val="22"/>
          <w:szCs w:val="22"/>
        </w:rPr>
        <w:t>d is hereby</w:t>
      </w:r>
      <w:r w:rsidR="00132D80">
        <w:rPr>
          <w:rFonts w:asciiTheme="minorHAnsi" w:hAnsiTheme="minorHAnsi" w:cstheme="minorHAnsi"/>
          <w:sz w:val="22"/>
          <w:szCs w:val="22"/>
        </w:rPr>
        <w:t xml:space="preserve"> approved in accordance with the provisions of SDCL of 1967, Chapter 11-6, and any amendments, and seconded by </w:t>
      </w:r>
      <w:r w:rsidR="0041495B">
        <w:rPr>
          <w:rFonts w:asciiTheme="minorHAnsi" w:hAnsiTheme="minorHAnsi" w:cstheme="minorHAnsi"/>
          <w:sz w:val="22"/>
          <w:szCs w:val="22"/>
        </w:rPr>
        <w:t>Schilling</w:t>
      </w:r>
      <w:r w:rsidR="00132D80">
        <w:rPr>
          <w:rFonts w:asciiTheme="minorHAnsi" w:hAnsiTheme="minorHAnsi" w:cstheme="minorHAnsi"/>
          <w:sz w:val="22"/>
          <w:szCs w:val="22"/>
        </w:rPr>
        <w:t>. Roll call vote – all voting yes – motion carried.</w:t>
      </w:r>
    </w:p>
    <w:p w14:paraId="4FD5A228" w14:textId="1E4A1762" w:rsidR="00132D80" w:rsidRDefault="00132D80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Holgard moved to approve Be it resolved by the County Planning Commission of Walworth County, South Dakota, that the plat showing: Lot 1, Riverview Addition, a Subdivision of the SE4 of 2-122-78, Walworth County, South Dakota having been examine</w:t>
      </w:r>
      <w:r w:rsidR="002113B3">
        <w:rPr>
          <w:rFonts w:asciiTheme="minorHAnsi" w:hAnsiTheme="minorHAnsi" w:cstheme="minorHAnsi"/>
          <w:sz w:val="22"/>
          <w:szCs w:val="22"/>
        </w:rPr>
        <w:t>d is hereby</w:t>
      </w:r>
      <w:r>
        <w:rPr>
          <w:rFonts w:asciiTheme="minorHAnsi" w:hAnsiTheme="minorHAnsi" w:cstheme="minorHAnsi"/>
          <w:sz w:val="22"/>
          <w:szCs w:val="22"/>
        </w:rPr>
        <w:t xml:space="preserve"> approved in accordance with the provisions of SDCL of 1967, Chapter 11-6, and any amendments, and seconded by Mohr. Roll call vote – all voting yes – motion carried.</w:t>
      </w:r>
    </w:p>
    <w:p w14:paraId="6E01B1FC" w14:textId="5280EC87" w:rsidR="00132D80" w:rsidRPr="00132D80" w:rsidRDefault="00132D80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Old Business: </w:t>
      </w:r>
      <w:r>
        <w:rPr>
          <w:rFonts w:asciiTheme="minorHAnsi" w:hAnsiTheme="minorHAnsi" w:cstheme="minorHAnsi"/>
          <w:sz w:val="22"/>
          <w:szCs w:val="22"/>
        </w:rPr>
        <w:t>None</w:t>
      </w:r>
    </w:p>
    <w:p w14:paraId="5F86D43A" w14:textId="2D1463BE" w:rsidR="00132D80" w:rsidRDefault="00132D80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New Business: </w:t>
      </w:r>
      <w:r>
        <w:rPr>
          <w:rFonts w:asciiTheme="minorHAnsi" w:hAnsiTheme="minorHAnsi" w:cstheme="minorHAnsi"/>
          <w:sz w:val="22"/>
          <w:szCs w:val="22"/>
        </w:rPr>
        <w:t>None</w:t>
      </w:r>
    </w:p>
    <w:p w14:paraId="6814105F" w14:textId="5A9587F2" w:rsidR="00132D80" w:rsidRDefault="00132D80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Adjourn: </w:t>
      </w:r>
      <w:r>
        <w:rPr>
          <w:rFonts w:asciiTheme="minorHAnsi" w:hAnsiTheme="minorHAnsi" w:cstheme="minorHAnsi"/>
          <w:sz w:val="22"/>
          <w:szCs w:val="22"/>
        </w:rPr>
        <w:t>Holgard moved to adjourn and seconded by Schilling. All in favor – all voting aye – motion carried.</w:t>
      </w:r>
    </w:p>
    <w:p w14:paraId="07C81318" w14:textId="2BA76E7C" w:rsidR="00132D80" w:rsidRDefault="00132D80" w:rsidP="00A51E4C">
      <w:pPr>
        <w:ind w:right="-3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Convene as County Commission</w:t>
      </w:r>
    </w:p>
    <w:p w14:paraId="117CEDF7" w14:textId="4E048B6F" w:rsidR="00132D80" w:rsidRDefault="00831BC7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Agenda:</w:t>
      </w:r>
      <w:r>
        <w:rPr>
          <w:rFonts w:asciiTheme="minorHAnsi" w:hAnsiTheme="minorHAnsi" w:cstheme="minorHAnsi"/>
          <w:sz w:val="22"/>
          <w:szCs w:val="22"/>
        </w:rPr>
        <w:t xml:space="preserve"> The agenda was amended to add approval of the County Land</w:t>
      </w:r>
      <w:r w:rsidR="002113B3">
        <w:rPr>
          <w:rFonts w:asciiTheme="minorHAnsi" w:hAnsiTheme="minorHAnsi" w:cstheme="minorHAnsi"/>
          <w:sz w:val="22"/>
          <w:szCs w:val="22"/>
        </w:rPr>
        <w:t xml:space="preserve"> Lease</w:t>
      </w:r>
      <w:r>
        <w:rPr>
          <w:rFonts w:asciiTheme="minorHAnsi" w:hAnsiTheme="minorHAnsi" w:cstheme="minorHAnsi"/>
          <w:sz w:val="22"/>
          <w:szCs w:val="22"/>
        </w:rPr>
        <w:t xml:space="preserve"> Auction, and Planning and Zoning. Moved by Holgard and seconded by Mohr to approve the agenda as amended. All in favor – all voting aye – motion carried.</w:t>
      </w:r>
    </w:p>
    <w:p w14:paraId="2EAA3D7C" w14:textId="3386BCD4" w:rsidR="00831BC7" w:rsidRDefault="00831BC7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Minutes for May</w:t>
      </w:r>
      <w:r w:rsidR="0092412F">
        <w:rPr>
          <w:rFonts w:asciiTheme="minorHAnsi" w:hAnsiTheme="minorHAnsi" w:cstheme="minorHAnsi"/>
          <w:b/>
          <w:bCs/>
          <w:sz w:val="22"/>
          <w:szCs w:val="22"/>
        </w:rPr>
        <w:t xml:space="preserve"> 23,2024: </w:t>
      </w:r>
      <w:r w:rsidR="00BF0943">
        <w:rPr>
          <w:rFonts w:asciiTheme="minorHAnsi" w:hAnsiTheme="minorHAnsi" w:cstheme="minorHAnsi"/>
          <w:sz w:val="22"/>
          <w:szCs w:val="22"/>
        </w:rPr>
        <w:t xml:space="preserve">Mohr moved to approve the </w:t>
      </w:r>
      <w:r w:rsidR="00343B79">
        <w:rPr>
          <w:rFonts w:asciiTheme="minorHAnsi" w:hAnsiTheme="minorHAnsi" w:cstheme="minorHAnsi"/>
          <w:sz w:val="22"/>
          <w:szCs w:val="22"/>
        </w:rPr>
        <w:t>minutes</w:t>
      </w:r>
      <w:r w:rsidR="00BF0943">
        <w:rPr>
          <w:rFonts w:asciiTheme="minorHAnsi" w:hAnsiTheme="minorHAnsi" w:cstheme="minorHAnsi"/>
          <w:sz w:val="22"/>
          <w:szCs w:val="22"/>
        </w:rPr>
        <w:t xml:space="preserve"> and seconded by Jungwirth. All in favor – all voting aye – motion carried.</w:t>
      </w:r>
    </w:p>
    <w:p w14:paraId="48DC7253" w14:textId="16E10D40" w:rsidR="00BF0943" w:rsidRPr="0041495B" w:rsidRDefault="00BF0943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Claims: </w:t>
      </w:r>
      <w:r w:rsidR="0041495B">
        <w:rPr>
          <w:rFonts w:asciiTheme="minorHAnsi" w:hAnsiTheme="minorHAnsi" w:cstheme="minorHAnsi"/>
          <w:sz w:val="22"/>
          <w:szCs w:val="22"/>
        </w:rPr>
        <w:t>Schilling moved to approve the claims and seconded by Jungwirth. Roll call vote – all voting yes – motion carried.</w:t>
      </w:r>
    </w:p>
    <w:p w14:paraId="211D93E2" w14:textId="7CF7D858" w:rsidR="00D4088B" w:rsidRPr="00B862F3" w:rsidRDefault="00BF0943" w:rsidP="00A51E4C">
      <w:pPr>
        <w:ind w:right="-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Claims: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862F3">
        <w:rPr>
          <w:rFonts w:asciiTheme="minorHAnsi" w:hAnsiTheme="minorHAnsi" w:cstheme="minorHAnsi"/>
          <w:sz w:val="22"/>
          <w:szCs w:val="22"/>
        </w:rPr>
        <w:t xml:space="preserve">A&amp;B Business INC $1,060.18 supplies; Agtegra Cooperative/Java $1,753.71 supplies; AT&amp;T Mobility $492.64 utilites; Avera Occupational Medicine $264.00 services &amp; fees; </w:t>
      </w:r>
      <w:r w:rsidR="006D0151">
        <w:rPr>
          <w:rFonts w:asciiTheme="minorHAnsi" w:hAnsiTheme="minorHAnsi" w:cstheme="minorHAnsi"/>
          <w:sz w:val="22"/>
          <w:szCs w:val="22"/>
        </w:rPr>
        <w:t xml:space="preserve">Balco Uniform Co., INC $390.51 supplies; Benco Equipment $335.00 supplies; Beadle County $17,005.00 inmate boarding; Brady Fuhrer $260.00 repairs &amp; maintenance; </w:t>
      </w:r>
      <w:r w:rsidR="00A76B9F">
        <w:rPr>
          <w:rFonts w:asciiTheme="minorHAnsi" w:hAnsiTheme="minorHAnsi" w:cstheme="minorHAnsi"/>
          <w:sz w:val="22"/>
          <w:szCs w:val="22"/>
        </w:rPr>
        <w:t xml:space="preserve">Kristi A. Brandt $50.00 services &amp; fees; Brown County Sheriff $4,000.00 adult/juvenile boarding; Butler Machinery CO $20,766.35 supplies/services &amp; fees; Cardmember Services – BW $2,403.50 services &amp; fees/repairs &amp; maintenance/supplies/inmate meals/travel; Central Diesel Sales INC $8,478.78 services &amp; fees/supplies; Coleman Law $1,092.50 services &amp; fees; Twotrees Technologies/Connecting Point $3,998.50 services &amp; fees/supplies; Dakota Fluid Power INC $1,016.79 </w:t>
      </w:r>
      <w:r w:rsidR="003D163E">
        <w:rPr>
          <w:rFonts w:asciiTheme="minorHAnsi" w:hAnsiTheme="minorHAnsi" w:cstheme="minorHAnsi"/>
          <w:sz w:val="22"/>
          <w:szCs w:val="22"/>
        </w:rPr>
        <w:t>supplies</w:t>
      </w:r>
      <w:r w:rsidR="00037460">
        <w:rPr>
          <w:rFonts w:asciiTheme="minorHAnsi" w:hAnsiTheme="minorHAnsi" w:cstheme="minorHAnsi"/>
          <w:sz w:val="22"/>
          <w:szCs w:val="22"/>
        </w:rPr>
        <w:t xml:space="preserve">; Dakota Glass &amp; Alignment LLC $879.75 repairs &amp; maintenance; Department of Health $620.00 States Attorney BA/Drug Testing; DRG Media Group $200.00 publishing; Election Systems &amp; Software $36.13 supplies; Fastenal Company $83.94 supplies; GTC Auto Parts $42.71 supplies; Halfile Systems Corp $321.20 services &amp; fees; Hase Plumbing Heating &amp; Air $48.98 supplies; Heartland Waste Management INC. $210.00 utilities; HKG Architects, INC $5,500.00 services </w:t>
      </w:r>
      <w:r w:rsidR="00037460">
        <w:rPr>
          <w:rFonts w:asciiTheme="minorHAnsi" w:hAnsiTheme="minorHAnsi" w:cstheme="minorHAnsi"/>
          <w:sz w:val="22"/>
          <w:szCs w:val="22"/>
        </w:rPr>
        <w:lastRenderedPageBreak/>
        <w:t xml:space="preserve">&amp; fees; Homestead Building Supplies $38.29 supplies; Huron Regional Medical Center $151.76 inmate medical; City of Java $23.00 utilities; </w:t>
      </w:r>
      <w:r w:rsidR="005157EF">
        <w:rPr>
          <w:rFonts w:asciiTheme="minorHAnsi" w:hAnsiTheme="minorHAnsi" w:cstheme="minorHAnsi"/>
          <w:sz w:val="22"/>
          <w:szCs w:val="22"/>
        </w:rPr>
        <w:t xml:space="preserve">Jensen Rock &amp; Sand INC. $8,152.77 services &amp; fees/supplies; John Deere Financial $100.94 supplies; KLJ Engineering LLC $233.41 services &amp; fees; Mark K. Kroontje $5,461.06 services &amp; fees; Lewis Family Drug LLC $49.18 </w:t>
      </w:r>
      <w:r w:rsidR="00F67EBD">
        <w:rPr>
          <w:rFonts w:asciiTheme="minorHAnsi" w:hAnsiTheme="minorHAnsi" w:cstheme="minorHAnsi"/>
          <w:sz w:val="22"/>
          <w:szCs w:val="22"/>
        </w:rPr>
        <w:t xml:space="preserve">inmate medical; Relx INC DBA LexisNexis $666.00 courts law books; Matheson Tri-Gas INC $93.42 rentals; Midcontinent Communications $168.39 utilities; Mobridge Ace Hardware $15.17 supplies; City of Mobridge $59.07 utilities; Mobridge Pit Stop INC $157.03 supplies; Mobridge Regional Hospital $1,999.02 inmate medical; Mobridge Tribune $1,594.62 publishing; Montana – Dakota Utilities $1,883.43 utilities; </w:t>
      </w:r>
      <w:r w:rsidR="00B35F12">
        <w:rPr>
          <w:rFonts w:asciiTheme="minorHAnsi" w:hAnsiTheme="minorHAnsi" w:cstheme="minorHAnsi"/>
          <w:sz w:val="22"/>
          <w:szCs w:val="22"/>
        </w:rPr>
        <w:t>Napa Central $9.06 supplies; Newman Traffic Signs $1,872.05 supplies; Northern Lites Co. $530.40 supplies; Premier Equipment $99.75 supplies; Quill Corporation $839.99 supplies; Road Groom Manufacturing $23,400.00 Highway Auto &amp; Major Equipment; Runnings Supply INC $406.51 supplies; SD Dept Transportation $4.42 services &amp; fees; SD Association of Assessing $</w:t>
      </w:r>
      <w:r w:rsidR="00785139">
        <w:rPr>
          <w:rFonts w:asciiTheme="minorHAnsi" w:hAnsiTheme="minorHAnsi" w:cstheme="minorHAnsi"/>
          <w:sz w:val="22"/>
          <w:szCs w:val="22"/>
        </w:rPr>
        <w:t xml:space="preserve">235.00 travel; SDACO M&amp;P Fund $142.00 AHF M&amp;P relief flow-thru; South Dakota DANR $562.61 services &amp; fees/landfill may operations fee; SD Sheriff’s Association $880.00 services &amp; fees; Selby Auto Sales &amp; Service $100.70 supplies; </w:t>
      </w:r>
      <w:r w:rsidR="007264E9">
        <w:rPr>
          <w:rFonts w:asciiTheme="minorHAnsi" w:hAnsiTheme="minorHAnsi" w:cstheme="minorHAnsi"/>
          <w:sz w:val="22"/>
          <w:szCs w:val="22"/>
        </w:rPr>
        <w:t xml:space="preserve">City of Selby $218.78 utilities; Selby Oil Company $85.00 repairs &amp; maintenance; Selby Record $719.83 publishing; Senior Nutrition Center $144.00 inmate meals; Servall Uniform &amp; Linen $321.97 rentals; Shorty’s One Stop $1,196.46 travel; Slater Oil &amp; LP Gas $4,363.48 supplies; Transource Truck &amp; Equipment $2,955.20 services &amp; fees/supplies; Valley Telecommunications $124.45 utilities; Venture Communication Coop $285.93 </w:t>
      </w:r>
      <w:r w:rsidR="00D4088B">
        <w:rPr>
          <w:rFonts w:asciiTheme="minorHAnsi" w:hAnsiTheme="minorHAnsi" w:cstheme="minorHAnsi"/>
          <w:sz w:val="22"/>
          <w:szCs w:val="22"/>
        </w:rPr>
        <w:t>utilities; Verizon $48.06 utilities; Walk-N-Roll $473.00 supplies; Walworth County Cons District $1,109.00 supplies; Web Water Development $57.00 utilities; Web Water Bottling Company $25.00 rentals; West River Telecommunications $62.80 services &amp; fees.</w:t>
      </w:r>
    </w:p>
    <w:p w14:paraId="6E087286" w14:textId="2A17DE2A" w:rsidR="00F429BC" w:rsidRDefault="0041495B">
      <w:r>
        <w:rPr>
          <w:b/>
          <w:bCs/>
        </w:rPr>
        <w:t xml:space="preserve">Land </w:t>
      </w:r>
      <w:r w:rsidR="002113B3">
        <w:rPr>
          <w:b/>
          <w:bCs/>
        </w:rPr>
        <w:t xml:space="preserve">Lease </w:t>
      </w:r>
      <w:r>
        <w:rPr>
          <w:b/>
          <w:bCs/>
        </w:rPr>
        <w:t>Auction:</w:t>
      </w:r>
      <w:r>
        <w:t xml:space="preserve"> </w:t>
      </w:r>
      <w:r w:rsidR="00723564">
        <w:t xml:space="preserve">Jacob Opheim bid $1,000 a year on 37 acres on the SE quarter of section 5, township 124, range 76. It is leased until February </w:t>
      </w:r>
      <w:r w:rsidR="006D4AB1">
        <w:t>07, 2026.</w:t>
      </w:r>
    </w:p>
    <w:p w14:paraId="00C2E802" w14:textId="379410E0" w:rsidR="006D4AB1" w:rsidRDefault="006D4AB1">
      <w:r>
        <w:rPr>
          <w:b/>
          <w:bCs/>
        </w:rPr>
        <w:t xml:space="preserve">Highway: </w:t>
      </w:r>
      <w:r>
        <w:t>Mohr moved to approve Chad Perman</w:t>
      </w:r>
      <w:r w:rsidR="00125FBB">
        <w:t xml:space="preserve"> to start at $21.32/hour for 3 months, after probation Perman will get $21.82/hour and seconded by Schilling. Roll call vote – all voting yes – motion carried.</w:t>
      </w:r>
    </w:p>
    <w:p w14:paraId="3EF92047" w14:textId="1033358C" w:rsidR="00125FBB" w:rsidRDefault="00125FBB">
      <w:r>
        <w:t>Schilling moved to sign Web Occupy Right of Way and seconded by Holgard. All in favor – all voting aye – motion carried.</w:t>
      </w:r>
    </w:p>
    <w:p w14:paraId="05DBDACD" w14:textId="43FF4A64" w:rsidR="00125FBB" w:rsidRDefault="00C23A2C">
      <w:pPr>
        <w:rPr>
          <w:rFonts w:asciiTheme="minorHAnsi" w:hAnsiTheme="minorHAnsi" w:cstheme="minorHAnsi"/>
          <w:sz w:val="22"/>
          <w:szCs w:val="22"/>
        </w:rPr>
      </w:pPr>
      <w:r>
        <w:rPr>
          <w:b/>
          <w:bCs/>
        </w:rPr>
        <w:t xml:space="preserve">2 Plats: </w:t>
      </w:r>
      <w:r>
        <w:t xml:space="preserve">Schilling moved to approve </w:t>
      </w:r>
      <w:r>
        <w:rPr>
          <w:rFonts w:asciiTheme="minorHAnsi" w:hAnsiTheme="minorHAnsi" w:cstheme="minorHAnsi"/>
          <w:sz w:val="22"/>
          <w:szCs w:val="22"/>
        </w:rPr>
        <w:t>Be it resolved by the County Planning Commission of Walworth County, South Dakota, that the plat showing: Schaefer 1</w:t>
      </w:r>
      <w:r w:rsidRPr="00132D8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Addition in the W2NE4 of 10-124-74, Walworth County, South Dakota having been examine</w:t>
      </w:r>
      <w:r w:rsidR="002113B3">
        <w:rPr>
          <w:rFonts w:asciiTheme="minorHAnsi" w:hAnsiTheme="minorHAnsi" w:cstheme="minorHAnsi"/>
          <w:sz w:val="22"/>
          <w:szCs w:val="22"/>
        </w:rPr>
        <w:t>d is hereby</w:t>
      </w:r>
      <w:r>
        <w:rPr>
          <w:rFonts w:asciiTheme="minorHAnsi" w:hAnsiTheme="minorHAnsi" w:cstheme="minorHAnsi"/>
          <w:sz w:val="22"/>
          <w:szCs w:val="22"/>
        </w:rPr>
        <w:t xml:space="preserve"> approved in accordance with the provisions of SDCL of 1967, Chapter 11-6, and any amendments, and seconded by Mohr. Roll call vote – all voting yes – motion carried.</w:t>
      </w:r>
    </w:p>
    <w:p w14:paraId="69A7C03F" w14:textId="0B4DB715" w:rsidR="00C23A2C" w:rsidRDefault="00C23A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Holgard moved to approve Be it resolved by the County Planning Commission of Walworth County, South Dakota, that the plat showing: Lot 1, Riverview Addition, a Subdivision of the SE4 of 2-122-78, Walworth County, South Dakota having been examine</w:t>
      </w:r>
      <w:r w:rsidR="002113B3">
        <w:rPr>
          <w:rFonts w:asciiTheme="minorHAnsi" w:hAnsiTheme="minorHAnsi" w:cstheme="minorHAnsi"/>
          <w:sz w:val="22"/>
          <w:szCs w:val="22"/>
        </w:rPr>
        <w:t>d is hereby</w:t>
      </w:r>
      <w:r>
        <w:rPr>
          <w:rFonts w:asciiTheme="minorHAnsi" w:hAnsiTheme="minorHAnsi" w:cstheme="minorHAnsi"/>
          <w:sz w:val="22"/>
          <w:szCs w:val="22"/>
        </w:rPr>
        <w:t xml:space="preserve"> approved in accordance with the provisions of SDCL of 1967, Chapter 11-6, and any amendments, and seconded by Jungwirth. Roll call vote – all voting yes – motion carried.</w:t>
      </w:r>
    </w:p>
    <w:p w14:paraId="1C5E98B9" w14:textId="43211164" w:rsidR="00C23A2C" w:rsidRDefault="00C23A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Auditor: </w:t>
      </w:r>
      <w:r>
        <w:rPr>
          <w:rFonts w:asciiTheme="minorHAnsi" w:hAnsiTheme="minorHAnsi" w:cstheme="minorHAnsi"/>
          <w:sz w:val="22"/>
          <w:szCs w:val="22"/>
        </w:rPr>
        <w:t>Schilling moved to approve to put Hannah Dryer on the Bank West account and seconded by Jungwirth. Roll call vote – all voting yes – motion carried.</w:t>
      </w:r>
    </w:p>
    <w:p w14:paraId="6568A3EB" w14:textId="3C3BD69C" w:rsidR="00C23A2C" w:rsidRPr="00CB4925" w:rsidRDefault="00CB49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Old Business: </w:t>
      </w:r>
      <w:r>
        <w:rPr>
          <w:rFonts w:asciiTheme="minorHAnsi" w:hAnsiTheme="minorHAnsi" w:cstheme="minorHAnsi"/>
          <w:sz w:val="22"/>
          <w:szCs w:val="22"/>
        </w:rPr>
        <w:t>None</w:t>
      </w:r>
    </w:p>
    <w:p w14:paraId="6CDD33DE" w14:textId="0E689F82" w:rsidR="00CB4925" w:rsidRPr="00CB4925" w:rsidRDefault="00CB49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New Business: </w:t>
      </w:r>
      <w:r>
        <w:rPr>
          <w:rFonts w:asciiTheme="minorHAnsi" w:hAnsiTheme="minorHAnsi" w:cstheme="minorHAnsi"/>
          <w:sz w:val="22"/>
          <w:szCs w:val="22"/>
        </w:rPr>
        <w:t>None</w:t>
      </w:r>
    </w:p>
    <w:p w14:paraId="702A737B" w14:textId="3EC34225" w:rsidR="00CB4925" w:rsidRDefault="00CB49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Adjourn: </w:t>
      </w:r>
      <w:r>
        <w:rPr>
          <w:rFonts w:asciiTheme="minorHAnsi" w:hAnsiTheme="minorHAnsi" w:cstheme="minorHAnsi"/>
          <w:sz w:val="22"/>
          <w:szCs w:val="22"/>
        </w:rPr>
        <w:t>Ho</w:t>
      </w:r>
      <w:r w:rsidR="00CC27FE">
        <w:rPr>
          <w:rFonts w:asciiTheme="minorHAnsi" w:hAnsiTheme="minorHAnsi" w:cstheme="minorHAnsi"/>
          <w:sz w:val="22"/>
          <w:szCs w:val="22"/>
        </w:rPr>
        <w:t>lgard moved to adjourn and seconded by Mohr. All in favor – all voting aye – motion carried.</w:t>
      </w:r>
    </w:p>
    <w:p w14:paraId="3983EA82" w14:textId="77777777" w:rsidR="008B58DE" w:rsidRPr="00E50C57" w:rsidRDefault="008B58DE" w:rsidP="008B58DE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APPROVED: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ATTEST:</w:t>
      </w:r>
    </w:p>
    <w:p w14:paraId="14C8611C" w14:textId="77777777" w:rsidR="008B58DE" w:rsidRPr="00E50C57" w:rsidRDefault="008B58DE" w:rsidP="008B58DE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66422784" w14:textId="77777777" w:rsidR="008B58DE" w:rsidRPr="00E50C57" w:rsidRDefault="008B58DE" w:rsidP="008B58DE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12F2E393" w14:textId="77777777" w:rsidR="008B58DE" w:rsidRPr="00E50C57" w:rsidRDefault="008B58DE" w:rsidP="008B58DE">
      <w:pPr>
        <w:ind w:right="-360"/>
        <w:jc w:val="both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_____________________________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__________________________</w:t>
      </w:r>
    </w:p>
    <w:p w14:paraId="0B11321B" w14:textId="77777777" w:rsidR="008B58DE" w:rsidRPr="00E50C57" w:rsidRDefault="008B58DE" w:rsidP="008B58DE">
      <w:pPr>
        <w:ind w:right="-360"/>
        <w:rPr>
          <w:rFonts w:asciiTheme="minorHAnsi" w:hAnsiTheme="minorHAnsi" w:cstheme="minorHAnsi"/>
          <w:b/>
          <w:sz w:val="20"/>
        </w:rPr>
      </w:pPr>
      <w:r w:rsidRPr="00E50C57">
        <w:rPr>
          <w:rFonts w:asciiTheme="minorHAnsi" w:hAnsiTheme="minorHAnsi" w:cstheme="minorHAnsi"/>
          <w:b/>
          <w:sz w:val="20"/>
        </w:rPr>
        <w:lastRenderedPageBreak/>
        <w:t>CHAIRPERSON</w:t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  <w:t>AUDITOR</w:t>
      </w:r>
    </w:p>
    <w:p w14:paraId="2DBBF606" w14:textId="77777777" w:rsidR="008B58DE" w:rsidRPr="00E50C57" w:rsidRDefault="008B58DE" w:rsidP="008B58DE">
      <w:pPr>
        <w:ind w:right="-360"/>
        <w:rPr>
          <w:rFonts w:asciiTheme="minorHAnsi" w:hAnsiTheme="minorHAnsi" w:cstheme="minorHAnsi"/>
          <w:b/>
          <w:sz w:val="20"/>
        </w:rPr>
      </w:pPr>
    </w:p>
    <w:p w14:paraId="1EDA1135" w14:textId="77777777" w:rsidR="008B58DE" w:rsidRPr="00E50C57" w:rsidRDefault="008B58DE" w:rsidP="008B58DE">
      <w:pPr>
        <w:ind w:right="-360"/>
        <w:rPr>
          <w:rFonts w:asciiTheme="minorHAnsi" w:hAnsiTheme="minorHAnsi" w:cstheme="minorHAnsi"/>
          <w:b/>
          <w:sz w:val="20"/>
        </w:rPr>
      </w:pPr>
    </w:p>
    <w:p w14:paraId="2ED2ED9B" w14:textId="77777777" w:rsidR="008B58DE" w:rsidRPr="00E50C57" w:rsidRDefault="008B58DE" w:rsidP="008B58DE">
      <w:pPr>
        <w:ind w:right="-360"/>
        <w:rPr>
          <w:rFonts w:asciiTheme="minorHAnsi" w:hAnsiTheme="minorHAnsi" w:cstheme="minorHAnsi"/>
          <w:sz w:val="20"/>
        </w:rPr>
      </w:pPr>
    </w:p>
    <w:p w14:paraId="6CF2147E" w14:textId="77777777" w:rsidR="008B58DE" w:rsidRPr="003735C1" w:rsidRDefault="008B58DE" w:rsidP="008B58DE">
      <w:pPr>
        <w:ind w:right="-360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sz w:val="20"/>
        </w:rPr>
        <w:t>Published once at the total approximate cost of $____________</w:t>
      </w:r>
    </w:p>
    <w:p w14:paraId="6971457E" w14:textId="77777777" w:rsidR="008B58DE" w:rsidRPr="00CB4925" w:rsidRDefault="008B58DE"/>
    <w:sectPr w:rsidR="008B58DE" w:rsidRPr="00CB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4C"/>
    <w:rsid w:val="00037460"/>
    <w:rsid w:val="00125FBB"/>
    <w:rsid w:val="00132D80"/>
    <w:rsid w:val="002113B3"/>
    <w:rsid w:val="00343B79"/>
    <w:rsid w:val="00386413"/>
    <w:rsid w:val="003C358A"/>
    <w:rsid w:val="003D163E"/>
    <w:rsid w:val="0041495B"/>
    <w:rsid w:val="005157EF"/>
    <w:rsid w:val="006D0151"/>
    <w:rsid w:val="006D4AB1"/>
    <w:rsid w:val="00723564"/>
    <w:rsid w:val="007264E9"/>
    <w:rsid w:val="00785139"/>
    <w:rsid w:val="00831BC7"/>
    <w:rsid w:val="008B58DE"/>
    <w:rsid w:val="0092412F"/>
    <w:rsid w:val="009508C8"/>
    <w:rsid w:val="00A51E4C"/>
    <w:rsid w:val="00A76B9F"/>
    <w:rsid w:val="00B35F12"/>
    <w:rsid w:val="00B862F3"/>
    <w:rsid w:val="00BF0943"/>
    <w:rsid w:val="00BF370B"/>
    <w:rsid w:val="00C23A2C"/>
    <w:rsid w:val="00CB4925"/>
    <w:rsid w:val="00CC27FE"/>
    <w:rsid w:val="00D4088B"/>
    <w:rsid w:val="00E60606"/>
    <w:rsid w:val="00F429BC"/>
    <w:rsid w:val="00F67EBD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7994"/>
  <w15:chartTrackingRefBased/>
  <w15:docId w15:val="{CC40ECA4-45FF-428B-A745-727F1534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E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E4C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E4C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E4C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E4C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E4C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E4C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E4C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E4C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E4C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E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E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E4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E4C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E4C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1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E4C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1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E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6</cp:revision>
  <cp:lastPrinted>2024-06-21T18:33:00Z</cp:lastPrinted>
  <dcterms:created xsi:type="dcterms:W3CDTF">2024-06-20T19:11:00Z</dcterms:created>
  <dcterms:modified xsi:type="dcterms:W3CDTF">2024-06-21T21:58:00Z</dcterms:modified>
</cp:coreProperties>
</file>